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9756A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4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4"/>
          <w:sz w:val="36"/>
          <w:szCs w:val="36"/>
          <w:shd w:val="clear" w:fill="FFFFFF"/>
          <w:lang w:val="en-US" w:eastAsia="zh-CN"/>
        </w:rPr>
        <w:t>威立雅环保科技（钦州）有限公司破产清算案</w:t>
      </w:r>
    </w:p>
    <w:p w14:paraId="2BC73AB0">
      <w:pPr>
        <w:pStyle w:val="10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default" w:eastAsia="黑体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4"/>
          <w:sz w:val="36"/>
          <w:szCs w:val="36"/>
          <w:shd w:val="clear" w:fill="FFFFFF"/>
          <w:lang w:val="en-US" w:eastAsia="zh-CN"/>
        </w:rPr>
        <w:t>评选审计机构评分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FF0000"/>
          <w:spacing w:val="4"/>
          <w:sz w:val="36"/>
          <w:szCs w:val="36"/>
          <w:shd w:val="clear" w:fill="FFFFFF"/>
          <w:lang w:val="en-US" w:eastAsia="zh-CN"/>
        </w:rPr>
        <w:t>细则</w:t>
      </w:r>
    </w:p>
    <w:p w14:paraId="5B36AC49">
      <w:pPr>
        <w:spacing w:before="0" w:after="0" w:line="360" w:lineRule="auto"/>
        <w:ind w:firstLine="480"/>
        <w:jc w:val="both"/>
        <w:rPr>
          <w:rFonts w:ascii="Times New Roman" w:hAnsi="Times New Roman" w:eastAsia="宋体" w:cs="Times New Roman"/>
          <w:sz w:val="28"/>
          <w:szCs w:val="28"/>
        </w:rPr>
      </w:pPr>
    </w:p>
    <w:p w14:paraId="32568975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评分细则</w:t>
      </w:r>
      <w:r>
        <w:rPr>
          <w:rFonts w:hint="eastAsia" w:ascii="仿宋" w:hAnsi="仿宋" w:eastAsia="仿宋" w:cs="仿宋"/>
          <w:sz w:val="32"/>
          <w:szCs w:val="32"/>
        </w:rPr>
        <w:t>适用于威立雅环保科技（钦州）有限公司破产清算案管理人公开选聘审计机构的综合评审活动。</w:t>
      </w:r>
    </w:p>
    <w:p w14:paraId="306D9CC4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本次</w:t>
      </w:r>
      <w:r>
        <w:rPr>
          <w:rFonts w:hint="eastAsia" w:ascii="仿宋" w:hAnsi="仿宋" w:eastAsia="仿宋" w:cs="仿宋"/>
          <w:sz w:val="32"/>
          <w:szCs w:val="32"/>
        </w:rPr>
        <w:t>评审工作遵循公开、公平、公正、诚实信用的原则，严格按照本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评分细则</w:t>
      </w:r>
      <w:r>
        <w:rPr>
          <w:rFonts w:hint="eastAsia" w:ascii="仿宋" w:hAnsi="仿宋" w:eastAsia="仿宋" w:cs="仿宋"/>
          <w:sz w:val="32"/>
          <w:szCs w:val="32"/>
        </w:rPr>
        <w:t>进行。</w:t>
      </w:r>
    </w:p>
    <w:p w14:paraId="2CC28A5F">
      <w:pPr>
        <w:keepNext/>
        <w:keepLines/>
        <w:spacing w:before="300" w:after="150"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评分标准</w:t>
      </w:r>
    </w:p>
    <w:p w14:paraId="307EA77F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本次评审设五项评审因素，总分100分，各项因素及权重如下：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2"/>
        <w:gridCol w:w="3790"/>
        <w:gridCol w:w="4514"/>
      </w:tblGrid>
      <w:tr w14:paraId="5DB3D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blHeader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B6E1B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3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22A0A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评审因素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54E51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权重分值</w:t>
            </w:r>
          </w:p>
        </w:tc>
      </w:tr>
      <w:tr w14:paraId="68074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74CE1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3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ABF43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机构资质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198A6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</w:t>
            </w:r>
          </w:p>
        </w:tc>
      </w:tr>
      <w:tr w14:paraId="145B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22334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3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340FA">
            <w:pPr>
              <w:spacing w:before="30" w:after="30" w:line="300" w:lineRule="auto"/>
              <w:ind w:left="60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相关业绩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C9D8D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</w:p>
        </w:tc>
      </w:tr>
      <w:tr w14:paraId="223F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BF927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3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36DDA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服务方案可行性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EC607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5</w:t>
            </w:r>
          </w:p>
        </w:tc>
      </w:tr>
      <w:tr w14:paraId="2904C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53FB7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3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146C8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项目团队配置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61613">
            <w:pPr>
              <w:spacing w:before="30" w:after="30" w:line="30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15</w:t>
            </w:r>
          </w:p>
        </w:tc>
      </w:tr>
      <w:tr w14:paraId="370CC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5F992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</w:t>
            </w:r>
          </w:p>
        </w:tc>
        <w:tc>
          <w:tcPr>
            <w:tcW w:w="3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BA291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报价合理性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9FA58D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</w:t>
            </w:r>
          </w:p>
        </w:tc>
      </w:tr>
      <w:tr w14:paraId="05D58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C243A8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3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A5540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合计</w:t>
            </w:r>
          </w:p>
        </w:tc>
        <w:tc>
          <w:tcPr>
            <w:tcW w:w="4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ABD6E0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100</w:t>
            </w:r>
          </w:p>
        </w:tc>
      </w:tr>
    </w:tbl>
    <w:p w14:paraId="6B5DFC02">
      <w:pPr>
        <w:spacing w:after="100"/>
        <w:rPr>
          <w:rFonts w:hint="eastAsia" w:ascii="仿宋" w:hAnsi="仿宋" w:eastAsia="仿宋" w:cs="仿宋"/>
          <w:sz w:val="32"/>
          <w:szCs w:val="32"/>
        </w:rPr>
      </w:pPr>
    </w:p>
    <w:p w14:paraId="0C143D04">
      <w:pPr>
        <w:keepNext/>
        <w:keepLines/>
        <w:spacing w:before="150" w:after="80" w:line="360" w:lineRule="auto"/>
        <w:ind w:firstLine="48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（一）机构资质（20分）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5"/>
        <w:gridCol w:w="902"/>
        <w:gridCol w:w="6139"/>
      </w:tblGrid>
      <w:tr w14:paraId="171CA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blHeader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887E27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4293A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分值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BBE76">
            <w:pPr>
              <w:spacing w:before="30" w:after="30" w:line="300" w:lineRule="auto"/>
              <w:ind w:left="6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评分标准</w:t>
            </w:r>
          </w:p>
        </w:tc>
      </w:tr>
      <w:tr w14:paraId="3092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540FC">
            <w:pPr>
              <w:spacing w:before="30" w:after="30" w:line="300" w:lineRule="auto"/>
              <w:ind w:left="60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经营年限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2305F">
            <w:pPr>
              <w:spacing w:before="30" w:after="30" w:line="30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5D03CA">
            <w:pPr>
              <w:pStyle w:val="10"/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00" w:lineRule="exact"/>
              <w:ind w:right="0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依法设立并有效存续，具有独立法人资格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持续经营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三年，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得3分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/>
              </w:rPr>
              <w:t>每多一年加1分；本项满分7分。</w:t>
            </w:r>
          </w:p>
        </w:tc>
      </w:tr>
      <w:tr w14:paraId="253A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8693C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执业资质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A3F76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64C197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具有法定执业资格（会计师事务所执业证书），得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分；具有其他知名国际或国内行业资质认证的，加2分。本项满分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分。</w:t>
            </w:r>
          </w:p>
        </w:tc>
      </w:tr>
      <w:tr w14:paraId="49A9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7108C">
            <w:pPr>
              <w:spacing w:before="30" w:after="30" w:line="300" w:lineRule="auto"/>
              <w:ind w:left="60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入库资质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708B76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C8AF8">
            <w:pPr>
              <w:spacing w:before="30" w:after="30" w:line="300" w:lineRule="auto"/>
              <w:ind w:left="60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入选《广西壮族自治区高级人民法院对外委托专业机构备选库》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得2分；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333333"/>
                <w:spacing w:val="4"/>
                <w:sz w:val="32"/>
                <w:szCs w:val="32"/>
                <w:shd w:val="clear" w:fill="FFFFFF"/>
              </w:rPr>
              <w:t>已按规定持续财务计提职业风险基金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得2分；入选广西企业破产案件管理人名册，得2分。本项满分6分。</w:t>
            </w:r>
          </w:p>
        </w:tc>
      </w:tr>
    </w:tbl>
    <w:p w14:paraId="0EF43EFA">
      <w:pPr>
        <w:spacing w:after="100"/>
        <w:rPr>
          <w:rFonts w:hint="eastAsia" w:ascii="仿宋" w:hAnsi="仿宋" w:eastAsia="仿宋" w:cs="仿宋"/>
          <w:sz w:val="32"/>
          <w:szCs w:val="32"/>
        </w:rPr>
      </w:pPr>
    </w:p>
    <w:p w14:paraId="40C382E5">
      <w:pPr>
        <w:keepNext/>
        <w:keepLines/>
        <w:spacing w:before="150" w:after="80" w:line="360" w:lineRule="auto"/>
        <w:ind w:firstLine="48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（二）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相关业绩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分）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5"/>
        <w:gridCol w:w="902"/>
        <w:gridCol w:w="6139"/>
      </w:tblGrid>
      <w:tr w14:paraId="016C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blHeader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FB0C2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DA31F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分值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90399">
            <w:pPr>
              <w:spacing w:before="30" w:after="30" w:line="300" w:lineRule="auto"/>
              <w:ind w:left="6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评分标准</w:t>
            </w:r>
          </w:p>
        </w:tc>
      </w:tr>
      <w:tr w14:paraId="518FB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0486F4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破产项目经验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58D8E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F3130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近三年（2023年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月1日至报名截止日）承担过破产清算、重整案件中的财务审计，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少于3个项目得0分，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有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个项目得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每多一个项目加2分，本项满分10分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。须提供与管理人或法院签订的委托合同复印件或管理人、法院出具的证明材料作为依据。</w:t>
            </w:r>
          </w:p>
        </w:tc>
      </w:tr>
      <w:tr w14:paraId="0D13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DACB6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化工、环保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行业经验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4DEFC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B49C6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近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同上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具有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化工、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环保、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危废处置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等相关行业企业的审计项目经验的，得5分；无相关经验的，得0分。须提供相应合同或报告复印件。</w:t>
            </w:r>
          </w:p>
        </w:tc>
      </w:tr>
      <w:tr w14:paraId="652E7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82408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大型复杂项目经验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E9E03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5分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1504D">
            <w:pPr>
              <w:spacing w:before="30" w:after="30" w:line="300" w:lineRule="auto"/>
              <w:ind w:left="60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近三年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同上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承担过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一家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资产规模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亿元以上企业的审计项目的，得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分；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少于一家，不得分；每多一家加1分；本项满分5分。</w:t>
            </w:r>
          </w:p>
        </w:tc>
      </w:tr>
    </w:tbl>
    <w:p w14:paraId="5EA92A30">
      <w:pPr>
        <w:spacing w:after="100"/>
        <w:rPr>
          <w:rFonts w:hint="eastAsia" w:ascii="仿宋" w:hAnsi="仿宋" w:eastAsia="仿宋" w:cs="仿宋"/>
          <w:sz w:val="32"/>
          <w:szCs w:val="32"/>
        </w:rPr>
      </w:pPr>
    </w:p>
    <w:p w14:paraId="3C0959D4">
      <w:pPr>
        <w:keepNext/>
        <w:keepLines/>
        <w:spacing w:before="150" w:after="80" w:line="360" w:lineRule="auto"/>
        <w:ind w:firstLine="48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）服务方案可行性（2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分）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5"/>
        <w:gridCol w:w="902"/>
        <w:gridCol w:w="6139"/>
      </w:tblGrid>
      <w:tr w14:paraId="117C8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blHeader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01C21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57EAE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分值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0F63A">
            <w:pPr>
              <w:spacing w:before="30" w:after="30" w:line="300" w:lineRule="auto"/>
              <w:ind w:left="6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评分标准</w:t>
            </w:r>
          </w:p>
        </w:tc>
      </w:tr>
      <w:tr w14:paraId="20AC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7D2F9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工作方案完整性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E239D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ED80E3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服务方案对项目背景理解到位，审计思路清晰、方法得当、程序完整、重点突出的，得6—8分；方案较完整、基本可行的，得3—5分；方案简单粗略、针对性不强的，得0—2分。</w:t>
            </w:r>
          </w:p>
        </w:tc>
      </w:tr>
      <w:tr w14:paraId="5D49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59346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工作进度安排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21F71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6分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13319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工作进度计划详细合理、节点清晰，能够在管理人要求的期限内完成全部工作并出具报告的，得4—6分；进度安排基本合理、能够完成的，得2—3分；进度安排不合理或无法保证按期完成的，得0—1分。</w:t>
            </w:r>
          </w:p>
        </w:tc>
      </w:tr>
      <w:tr w14:paraId="416B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35C215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质量保障措施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48C8A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6分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08E3E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质量控制体系完善、三级复核制度健全，并针对破产项目特点制定专项保障措施的，得4—6分；有基本质量保障措施的，得2—3分；无质量保障措施或措施明显不完善的，得0—1分。</w:t>
            </w:r>
          </w:p>
        </w:tc>
      </w:tr>
      <w:tr w14:paraId="0AFA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161E0">
            <w:pPr>
              <w:spacing w:before="30" w:after="30" w:line="300" w:lineRule="auto"/>
              <w:ind w:left="60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述标表现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9BFF1">
            <w:pPr>
              <w:spacing w:before="30" w:after="30" w:line="30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83F01">
            <w:pPr>
              <w:spacing w:before="30" w:after="30" w:line="300" w:lineRule="auto"/>
              <w:ind w:left="60"/>
              <w:jc w:val="lef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述标人对本机构的业务情况了解透彻，对提交的服务方案理解熟悉，述标对答清晰流畅的，得4-5分；基本了解，对答较完整的，得2-3分；不了解，对答含糊其辞的，得0-1分。</w:t>
            </w:r>
          </w:p>
        </w:tc>
      </w:tr>
    </w:tbl>
    <w:p w14:paraId="6F2EB240">
      <w:pPr>
        <w:keepNext/>
        <w:keepLines/>
        <w:spacing w:before="150" w:after="80"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0CEC2E5">
      <w:pPr>
        <w:keepNext/>
        <w:keepLines/>
        <w:spacing w:before="150" w:after="80" w:line="360" w:lineRule="auto"/>
        <w:ind w:firstLine="48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）项目团队配置（15分）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5"/>
        <w:gridCol w:w="902"/>
        <w:gridCol w:w="6139"/>
      </w:tblGrid>
      <w:tr w14:paraId="3472D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blHeader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A8C76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06714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分值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A1A8B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评分标准</w:t>
            </w:r>
          </w:p>
        </w:tc>
      </w:tr>
      <w:tr w14:paraId="49055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B21A5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项目负责人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9652A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8分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6E2A1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项目负责人具有注册会计师执业资格，执业年限10年以上的，得4分；5—10年的，得2分；5年以下的，得1分。项目负责人曾担任过破产项目负责人的，得4分；曾参与过破产项目但未担任负责人的，得2分；无破产项目经验的，得0分。</w:t>
            </w:r>
          </w:p>
        </w:tc>
      </w:tr>
      <w:tr w14:paraId="1E650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818AF4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团队成员配置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ED91C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7分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7D345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拟派团队中具有注册会计师资格的专业人员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人以上的，得4分；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2-4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人的，得2分；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人的，得1分。</w:t>
            </w:r>
          </w:p>
          <w:p w14:paraId="1118987B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团队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总人数达10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人以上的，得3分；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8-9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人的，得2分；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6-7人的，得1分；5人及以下的，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得0分。</w:t>
            </w:r>
          </w:p>
        </w:tc>
      </w:tr>
    </w:tbl>
    <w:p w14:paraId="4644BEF3">
      <w:pPr>
        <w:spacing w:after="100"/>
        <w:rPr>
          <w:rFonts w:hint="eastAsia" w:ascii="仿宋" w:hAnsi="仿宋" w:eastAsia="仿宋" w:cs="仿宋"/>
          <w:sz w:val="32"/>
          <w:szCs w:val="32"/>
        </w:rPr>
      </w:pPr>
    </w:p>
    <w:p w14:paraId="17FAA81E">
      <w:pPr>
        <w:keepNext/>
        <w:keepLines/>
        <w:spacing w:before="150" w:after="80" w:line="360" w:lineRule="auto"/>
        <w:ind w:firstLine="48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（五）报价合理性（20分）</w:t>
      </w:r>
    </w:p>
    <w:p w14:paraId="522767BF">
      <w:pPr>
        <w:spacing w:before="0" w:after="0"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本项采用基准价法计算报价得分，具体规则如下：</w:t>
      </w:r>
    </w:p>
    <w:tbl>
      <w:tblPr>
        <w:tblStyle w:val="12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5"/>
        <w:gridCol w:w="902"/>
        <w:gridCol w:w="6139"/>
      </w:tblGrid>
      <w:tr w14:paraId="2C355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blHeader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DE150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评分项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0B131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分值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C5DE9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评分标准</w:t>
            </w:r>
          </w:p>
        </w:tc>
      </w:tr>
      <w:tr w14:paraId="4F80C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27B34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评审基准价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C2B62A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—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0E007A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以通过资格审查的全部机构有效报价的算术平均值为评审基准价。有效报价指符合选聘公告要求、在合理范围内的报价。</w:t>
            </w:r>
          </w:p>
        </w:tc>
      </w:tr>
      <w:tr w14:paraId="7A3B6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BF6C7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报价得分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3F978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20分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3EE55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报价等于评审基准价的，得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分。报价高于基准价的，每高于1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%扣1分；报价低于基准价的，每低于1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%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加1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分。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比例数值非整十时，按整十四舍五入后取整计算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若为扣分，则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扣完为止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若为加分，则满分为20分。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计算公式：高于基准价时，得分=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-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（报价-基准价）÷基准价÷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10%]四舍五入后取整数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×1；低于基准价时，得分=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15+[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（基准价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报价）÷基准价÷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10%]四舍五入后取整数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×1。</w:t>
            </w:r>
          </w:p>
        </w:tc>
      </w:tr>
      <w:tr w14:paraId="4449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C0F758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异常低报价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6DF62">
            <w:pPr>
              <w:spacing w:before="30" w:after="30" w:line="30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—</w:t>
            </w:r>
          </w:p>
        </w:tc>
        <w:tc>
          <w:tcPr>
            <w:tcW w:w="6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159C2">
            <w:pPr>
              <w:spacing w:before="30" w:after="30" w:line="300" w:lineRule="auto"/>
              <w:ind w:left="60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报价明显低于其他有效报价平均值的30%以上，评审小组有权要求该机构作出书面说明并提供相关证明材料；无法合理说明的，评审小组可认定其为无效报价。</w:t>
            </w:r>
          </w:p>
        </w:tc>
      </w:tr>
    </w:tbl>
    <w:p w14:paraId="455F6231">
      <w:pPr>
        <w:keepNext/>
        <w:keepLines/>
        <w:spacing w:before="300" w:after="150"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评分规则</w:t>
      </w:r>
    </w:p>
    <w:p w14:paraId="7F2E062C">
      <w:pPr>
        <w:spacing w:before="0" w:after="0"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（六）</w:t>
      </w:r>
      <w:r>
        <w:rPr>
          <w:rFonts w:hint="eastAsia" w:ascii="仿宋" w:hAnsi="仿宋" w:eastAsia="仿宋" w:cs="仿宋"/>
          <w:sz w:val="32"/>
          <w:szCs w:val="32"/>
        </w:rPr>
        <w:t>评审小组各成员独立打分，打分一经完成不得更改。</w:t>
      </w:r>
    </w:p>
    <w:p w14:paraId="5FDA4EE6">
      <w:pPr>
        <w:spacing w:before="0" w:after="0"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（七）</w:t>
      </w:r>
      <w:r>
        <w:rPr>
          <w:rFonts w:hint="eastAsia" w:ascii="仿宋" w:hAnsi="仿宋" w:eastAsia="仿宋" w:cs="仿宋"/>
          <w:sz w:val="32"/>
          <w:szCs w:val="32"/>
        </w:rPr>
        <w:t>每个机构的最终得分按以下方式计算：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所有</w:t>
      </w:r>
      <w:r>
        <w:rPr>
          <w:rFonts w:hint="eastAsia" w:ascii="仿宋" w:hAnsi="仿宋" w:eastAsia="仿宋" w:cs="仿宋"/>
          <w:sz w:val="32"/>
          <w:szCs w:val="32"/>
        </w:rPr>
        <w:t>评委打分的算术平均值即为该机构的最终得分。</w:t>
      </w:r>
    </w:p>
    <w:p w14:paraId="041E9DFB">
      <w:pPr>
        <w:spacing w:before="0" w:after="0"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（八）</w:t>
      </w:r>
      <w:r>
        <w:rPr>
          <w:rFonts w:hint="eastAsia" w:ascii="仿宋" w:hAnsi="仿宋" w:eastAsia="仿宋" w:cs="仿宋"/>
          <w:sz w:val="32"/>
          <w:szCs w:val="32"/>
        </w:rPr>
        <w:t>最终得分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四舍五入后</w:t>
      </w:r>
      <w:r>
        <w:rPr>
          <w:rFonts w:hint="eastAsia" w:ascii="仿宋" w:hAnsi="仿宋" w:eastAsia="仿宋" w:cs="仿宋"/>
          <w:sz w:val="32"/>
          <w:szCs w:val="32"/>
        </w:rPr>
        <w:t>保留小数点后两位数字。</w:t>
      </w:r>
    </w:p>
    <w:p w14:paraId="6F55121F">
      <w:pPr>
        <w:spacing w:before="0" w:after="0"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（九）</w:t>
      </w:r>
      <w:r>
        <w:rPr>
          <w:rFonts w:hint="eastAsia" w:ascii="仿宋" w:hAnsi="仿宋" w:eastAsia="仿宋" w:cs="仿宋"/>
          <w:sz w:val="32"/>
          <w:szCs w:val="32"/>
        </w:rPr>
        <w:t>评委打分应当在评分表上签字确认。评分表存在以下情形之一的，该项打分无效：（1）未签字的；（2）打分超出规定分值范围的；（3）字迹模糊无法辨认的。</w:t>
      </w:r>
    </w:p>
    <w:p w14:paraId="77258E9B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（十）</w:t>
      </w:r>
      <w:r>
        <w:rPr>
          <w:rFonts w:hint="eastAsia" w:ascii="仿宋" w:hAnsi="仿宋" w:eastAsia="仿宋" w:cs="仿宋"/>
          <w:sz w:val="32"/>
          <w:szCs w:val="32"/>
        </w:rPr>
        <w:t>评审过程中，评委对报名材料中的异议事项可以提出意见，由评审小组集体研究确定。意见分歧较大的，采取少数服从多数的原则表决确定。</w:t>
      </w:r>
    </w:p>
    <w:p w14:paraId="4AB7813C">
      <w:pPr>
        <w:keepNext/>
        <w:keepLines/>
        <w:spacing w:before="300" w:after="150"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中选机构的确定</w:t>
      </w:r>
    </w:p>
    <w:p w14:paraId="5A5252AF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（十一）</w:t>
      </w:r>
      <w:r>
        <w:rPr>
          <w:rFonts w:hint="eastAsia" w:ascii="仿宋" w:hAnsi="仿宋" w:eastAsia="仿宋" w:cs="仿宋"/>
          <w:sz w:val="32"/>
          <w:szCs w:val="32"/>
        </w:rPr>
        <w:t>管理人根据评审小组的最终得分，按得分从高到低排序，得分最高的机构为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首选</w:t>
      </w:r>
      <w:r>
        <w:rPr>
          <w:rFonts w:hint="eastAsia" w:ascii="仿宋" w:hAnsi="仿宋" w:eastAsia="仿宋" w:cs="仿宋"/>
          <w:sz w:val="32"/>
          <w:szCs w:val="32"/>
        </w:rPr>
        <w:t>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得分次高的机构为备选机构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069C736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（十二）</w:t>
      </w:r>
      <w:r>
        <w:rPr>
          <w:rFonts w:hint="eastAsia" w:ascii="仿宋" w:hAnsi="仿宋" w:eastAsia="仿宋" w:cs="仿宋"/>
          <w:sz w:val="32"/>
          <w:szCs w:val="32"/>
        </w:rPr>
        <w:t>两家或两家以上机构最终得分相同的，按以下顺序确定排序：（1）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相关业绩</w:t>
      </w:r>
      <w:r>
        <w:rPr>
          <w:rFonts w:hint="eastAsia" w:ascii="仿宋" w:hAnsi="仿宋" w:eastAsia="仿宋" w:cs="仿宋"/>
          <w:sz w:val="32"/>
          <w:szCs w:val="32"/>
        </w:rPr>
        <w:t>得分较高者优先；（2）服务方案可行性得分较高者优先；（3）报价较低者优先。</w:t>
      </w:r>
    </w:p>
    <w:p w14:paraId="76CEEB75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（十三）首选</w:t>
      </w:r>
      <w:r>
        <w:rPr>
          <w:rFonts w:hint="eastAsia" w:ascii="仿宋" w:hAnsi="仿宋" w:eastAsia="仿宋" w:cs="仿宋"/>
          <w:sz w:val="32"/>
          <w:szCs w:val="32"/>
        </w:rPr>
        <w:t>机构放弃中选、因不可抗力不能履职或被取消中选资格的，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由备选机构递补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8B717A4">
      <w:pPr>
        <w:spacing w:before="0" w:after="0" w:line="360" w:lineRule="auto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（十四）</w:t>
      </w:r>
      <w:r>
        <w:rPr>
          <w:rFonts w:hint="eastAsia" w:ascii="仿宋" w:hAnsi="仿宋" w:eastAsia="仿宋" w:cs="仿宋"/>
          <w:sz w:val="32"/>
          <w:szCs w:val="32"/>
        </w:rPr>
        <w:t>管理人将评审结果、评审得分及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首选、备选</w:t>
      </w:r>
      <w:r>
        <w:rPr>
          <w:rFonts w:hint="eastAsia" w:ascii="仿宋" w:hAnsi="仿宋" w:eastAsia="仿宋" w:cs="仿宋"/>
          <w:sz w:val="32"/>
          <w:szCs w:val="32"/>
        </w:rPr>
        <w:t>机构名单书面报告钦州市钦南区人民法院。经法院审核同意后，管理人向中选机构发出中选通知书，并在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个工作日内签订委托服务合同。</w:t>
      </w:r>
    </w:p>
    <w:p w14:paraId="7C3A4CAD">
      <w:pPr>
        <w:keepNext/>
        <w:keepLines/>
        <w:spacing w:before="300" w:after="150"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附 则</w:t>
      </w:r>
    </w:p>
    <w:p w14:paraId="372E9A3F">
      <w:pPr>
        <w:spacing w:before="0" w:after="0"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（十五）</w:t>
      </w:r>
      <w:r>
        <w:rPr>
          <w:rFonts w:hint="eastAsia" w:ascii="仿宋" w:hAnsi="仿宋" w:eastAsia="仿宋" w:cs="仿宋"/>
          <w:sz w:val="32"/>
          <w:szCs w:val="32"/>
        </w:rPr>
        <w:t>本细则未尽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事宜</w:t>
      </w:r>
      <w:r>
        <w:rPr>
          <w:rFonts w:hint="eastAsia" w:ascii="仿宋" w:hAnsi="仿宋" w:eastAsia="仿宋" w:cs="仿宋"/>
          <w:sz w:val="32"/>
          <w:szCs w:val="32"/>
        </w:rPr>
        <w:t>，由管理人根据相关法律法规和本案实际情况确定。</w:t>
      </w:r>
    </w:p>
    <w:p w14:paraId="68E6B577">
      <w:pPr>
        <w:spacing w:before="0" w:after="0" w:line="360" w:lineRule="auto"/>
        <w:ind w:firstLine="480"/>
        <w:jc w:val="both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本细则由威立雅环保科技（钦州）有限公司管理人负责解释。</w:t>
      </w:r>
    </w:p>
    <w:p w14:paraId="2B640FB8">
      <w:pPr>
        <w:spacing w:before="400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51CD96FE">
      <w:pPr>
        <w:spacing w:before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威立雅环保科技（钦州）有限公司管理人</w:t>
      </w:r>
    </w:p>
    <w:p w14:paraId="46BECC2F">
      <w:pPr>
        <w:spacing w:before="0" w:after="0"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footerReference r:id="rId3" w:type="default"/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D48DC">
    <w:pPr>
      <w:jc w:val="center"/>
    </w:pPr>
    <w:r>
      <w:rPr>
        <w:rFonts w:ascii="Times New Roman" w:hAnsi="Times New Roman" w:eastAsia="宋体" w:cs="Times New Roman"/>
        <w:sz w:val="20"/>
        <w:szCs w:val="20"/>
      </w:rPr>
      <w:t xml:space="preserve">第 </w:t>
    </w:r>
    <w:r>
      <w:rPr>
        <w:rFonts w:ascii="Times New Roman" w:hAnsi="Times New Roman" w:eastAsia="宋体" w:cs="Times New Roman"/>
        <w:sz w:val="20"/>
        <w:szCs w:val="20"/>
      </w:rPr>
      <w:fldChar w:fldCharType="begin"/>
    </w:r>
    <w:r>
      <w:rPr>
        <w:rFonts w:ascii="Times New Roman" w:hAnsi="Times New Roman" w:eastAsia="宋体" w:cs="Times New Roman"/>
        <w:sz w:val="20"/>
        <w:szCs w:val="20"/>
      </w:rPr>
      <w:instrText xml:space="preserve">PAGE</w:instrText>
    </w:r>
    <w:r>
      <w:rPr>
        <w:rFonts w:ascii="Times New Roman" w:hAnsi="Times New Roman" w:eastAsia="宋体" w:cs="Times New Roman"/>
        <w:sz w:val="20"/>
        <w:szCs w:val="20"/>
      </w:rPr>
      <w:fldChar w:fldCharType="separate"/>
    </w:r>
    <w:r>
      <w:rPr>
        <w:rFonts w:ascii="Times New Roman" w:hAnsi="Times New Roman" w:eastAsia="宋体" w:cs="Times New Roman"/>
        <w:sz w:val="20"/>
        <w:szCs w:val="20"/>
      </w:rPr>
      <w:fldChar w:fldCharType="end"/>
    </w:r>
    <w:r>
      <w:rPr>
        <w:rFonts w:ascii="Times New Roman" w:hAnsi="Times New Roman" w:eastAsia="宋体" w:cs="Times New Roman"/>
        <w:sz w:val="20"/>
        <w:szCs w:val="20"/>
      </w:rPr>
      <w:t xml:space="preserve"> 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0E46AD2"/>
    <w:rsid w:val="08917F86"/>
    <w:rsid w:val="156B6367"/>
    <w:rsid w:val="2B432C91"/>
    <w:rsid w:val="2BED728D"/>
    <w:rsid w:val="5074015B"/>
    <w:rsid w:val="70885228"/>
    <w:rsid w:val="748C2F3E"/>
    <w:rsid w:val="7ABB4D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8"/>
      <w:szCs w:val="28"/>
    </w:rPr>
  </w:style>
  <w:style w:type="paragraph" w:styleId="2">
    <w:name w:val="heading 1"/>
    <w:next w:val="1"/>
    <w:qFormat/>
    <w:uiPriority w:val="0"/>
    <w:pPr>
      <w:spacing w:line="360" w:lineRule="auto"/>
    </w:pPr>
    <w:rPr>
      <w:rFonts w:ascii="Times New Roman" w:hAnsi="Times New Roman" w:eastAsia="宋体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pPr>
      <w:spacing w:line="360" w:lineRule="auto"/>
    </w:pPr>
    <w:rPr>
      <w:rFonts w:ascii="Times New Roman" w:hAnsi="Times New Roman" w:eastAsia="宋体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pPr>
      <w:spacing w:line="360" w:lineRule="auto"/>
    </w:pPr>
    <w:rPr>
      <w:rFonts w:ascii="Times New Roman" w:hAnsi="Times New Roman" w:eastAsia="宋体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pPr>
      <w:spacing w:line="360" w:lineRule="auto"/>
    </w:pPr>
    <w:rPr>
      <w:rFonts w:ascii="Times New Roman" w:hAnsi="Times New Roman" w:eastAsia="宋体" w:cs="Times New Roman"/>
      <w:i/>
      <w:iCs/>
      <w:color w:val="2E74B5"/>
      <w:sz w:val="28"/>
      <w:szCs w:val="28"/>
    </w:rPr>
  </w:style>
  <w:style w:type="paragraph" w:styleId="6">
    <w:name w:val="heading 5"/>
    <w:next w:val="1"/>
    <w:qFormat/>
    <w:uiPriority w:val="0"/>
    <w:pPr>
      <w:spacing w:line="360" w:lineRule="auto"/>
    </w:pPr>
    <w:rPr>
      <w:rFonts w:ascii="Times New Roman" w:hAnsi="Times New Roman" w:eastAsia="宋体" w:cs="Times New Roman"/>
      <w:color w:val="2E74B5"/>
      <w:sz w:val="28"/>
      <w:szCs w:val="28"/>
    </w:rPr>
  </w:style>
  <w:style w:type="paragraph" w:styleId="7">
    <w:name w:val="heading 6"/>
    <w:next w:val="1"/>
    <w:qFormat/>
    <w:uiPriority w:val="0"/>
    <w:pPr>
      <w:spacing w:line="360" w:lineRule="auto"/>
    </w:pPr>
    <w:rPr>
      <w:rFonts w:ascii="Times New Roman" w:hAnsi="Times New Roman" w:eastAsia="宋体" w:cs="Times New Roman"/>
      <w:color w:val="1F4D78"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9"/>
    <w:semiHidden/>
    <w:unhideWhenUsed/>
    <w:uiPriority w:val="99"/>
    <w:pPr>
      <w:spacing w:after="0" w:line="240" w:lineRule="auto"/>
    </w:pPr>
    <w:rPr>
      <w:rFonts w:ascii="Times New Roman" w:hAnsi="Times New Roman" w:eastAsia="宋体" w:cs="Times New Roman"/>
      <w:color w:val="000000"/>
      <w:sz w:val="20"/>
      <w:szCs w:val="20"/>
    </w:rPr>
  </w:style>
  <w:style w:type="paragraph" w:styleId="9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color w:val="000000"/>
      <w:sz w:val="20"/>
      <w:szCs w:val="20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qFormat/>
    <w:uiPriority w:val="0"/>
    <w:pPr>
      <w:spacing w:line="360" w:lineRule="auto"/>
    </w:pPr>
    <w:rPr>
      <w:rFonts w:ascii="Times New Roman" w:hAnsi="Times New Roman" w:eastAsia="宋体" w:cs="Times New Roman"/>
      <w:color w:val="000000"/>
      <w:sz w:val="56"/>
      <w:szCs w:val="56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pPr>
      <w:spacing w:line="360" w:lineRule="auto"/>
    </w:pPr>
    <w:rPr>
      <w:rFonts w:ascii="Times New Roman" w:hAnsi="Times New Roman" w:eastAsia="宋体" w:cs="Times New Roman"/>
      <w:color w:val="000000"/>
      <w:sz w:val="28"/>
      <w:szCs w:val="28"/>
    </w:rPr>
  </w:style>
  <w:style w:type="character" w:customStyle="1" w:styleId="18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2262</Words>
  <Characters>2323</Characters>
  <TotalTime>0</TotalTime>
  <ScaleCrop>false</ScaleCrop>
  <LinksUpToDate>false</LinksUpToDate>
  <CharactersWithSpaces>2347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2026-09-03T10:57:00Z</dcterms:created>
  <dc:creator>Un-named</dc:creator>
  <cp:lastModifiedBy>钧亚律所-利玲</cp:lastModifiedBy>
  <dcterms:modified xsi:type="dcterms:W3CDTF">2026-09-15T04:55:00Z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7625848272745414948-data_volume/files/所有对话/主对话/综合评审标准及评分细则.docx","ReservedCode1":"","ContentPropagator":"001191110102MACQD9K64028705","PropagateID":"327022872632484#1788433131006","ReservedCode2":""}</vt:lpwstr>
  </property>
  <property fmtid="{D5CDD505-2E9C-101B-9397-08002B2CF9AE}" pid="3" name="KSOTemplateDocerSaveRecord">
    <vt:lpwstr>eyJoZGlkIjoiMzEwNTM5NzYwMDRjMzkwZTVkZjY2ODkwMGIxNGU0OTUiLCJ1c2VySWQiOiIyODkzMzg3NTIifQ==</vt:lpwstr>
  </property>
  <property fmtid="{D5CDD505-2E9C-101B-9397-08002B2CF9AE}" pid="4" name="KSOProductBuildVer">
    <vt:lpwstr>2052-12.1.0.28505</vt:lpwstr>
  </property>
  <property fmtid="{D5CDD505-2E9C-101B-9397-08002B2CF9AE}" pid="5" name="ICV">
    <vt:lpwstr>AAF23452873343AC8F07E777BC1EB670_12</vt:lpwstr>
  </property>
</Properties>
</file>